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FFA" w:rsidRDefault="00AB1FFA" w:rsidP="00E56D7D">
      <w:pPr>
        <w:pStyle w:val="Title"/>
        <w:jc w:val="center"/>
        <w:rPr>
          <w:b/>
          <w:color w:val="5B9BD5" w:themeColor="accent1"/>
        </w:rPr>
      </w:pPr>
      <w:bookmarkStart w:id="0" w:name="_Toc433208871"/>
    </w:p>
    <w:p w:rsidR="00AB1FFA" w:rsidRDefault="00AB1FFA" w:rsidP="00E56D7D">
      <w:pPr>
        <w:pStyle w:val="Title"/>
        <w:jc w:val="center"/>
        <w:rPr>
          <w:b/>
          <w:color w:val="5B9BD5" w:themeColor="accent1"/>
        </w:rPr>
      </w:pPr>
    </w:p>
    <w:p w:rsidR="00AB1FFA" w:rsidRDefault="00AB1FFA" w:rsidP="00E56D7D">
      <w:pPr>
        <w:pStyle w:val="Title"/>
        <w:jc w:val="center"/>
        <w:rPr>
          <w:b/>
          <w:color w:val="5B9BD5" w:themeColor="accent1"/>
        </w:rPr>
      </w:pPr>
    </w:p>
    <w:p w:rsidR="00AB1FFA" w:rsidRDefault="00AB1FFA" w:rsidP="00E56D7D">
      <w:pPr>
        <w:pStyle w:val="Title"/>
        <w:jc w:val="center"/>
        <w:rPr>
          <w:b/>
          <w:color w:val="5B9BD5" w:themeColor="accent1"/>
        </w:rPr>
      </w:pPr>
    </w:p>
    <w:p w:rsidR="00AB1FFA" w:rsidRDefault="00AB1FFA" w:rsidP="00E56D7D">
      <w:pPr>
        <w:pStyle w:val="Title"/>
        <w:jc w:val="center"/>
        <w:rPr>
          <w:b/>
          <w:color w:val="5B9BD5" w:themeColor="accent1"/>
        </w:rPr>
      </w:pPr>
    </w:p>
    <w:p w:rsidR="00AB1FFA" w:rsidRDefault="00AB1FFA" w:rsidP="00E56D7D">
      <w:pPr>
        <w:pStyle w:val="Title"/>
        <w:jc w:val="center"/>
        <w:rPr>
          <w:b/>
          <w:color w:val="5B9BD5" w:themeColor="accent1"/>
        </w:rPr>
      </w:pPr>
    </w:p>
    <w:p w:rsidR="00E56D7D" w:rsidRPr="00E56D7D" w:rsidRDefault="00E56D7D" w:rsidP="00E56D7D">
      <w:pPr>
        <w:pStyle w:val="Title"/>
        <w:jc w:val="center"/>
        <w:rPr>
          <w:b/>
        </w:rPr>
      </w:pPr>
      <w:r w:rsidRPr="00E56D7D">
        <w:rPr>
          <w:b/>
          <w:color w:val="5B9BD5" w:themeColor="accent1"/>
        </w:rPr>
        <w:t>ANTI-BULLYING and HARASSMENT POLICY</w:t>
      </w:r>
      <w:bookmarkEnd w:id="0"/>
    </w:p>
    <w:p w:rsidR="00AB1FFA" w:rsidRDefault="00AB1FFA">
      <w:pPr>
        <w:spacing w:after="160" w:line="259" w:lineRule="auto"/>
      </w:pPr>
      <w:r>
        <w:br w:type="page"/>
      </w:r>
    </w:p>
    <w:p w:rsidR="007F07FE" w:rsidRDefault="007F07FE" w:rsidP="007F07FE">
      <w:pPr>
        <w:jc w:val="center"/>
      </w:pPr>
    </w:p>
    <w:p w:rsidR="007F07FE" w:rsidRDefault="007F07FE" w:rsidP="007F07FE">
      <w:pPr>
        <w:jc w:val="center"/>
      </w:pPr>
    </w:p>
    <w:p w:rsidR="007F07FE" w:rsidRDefault="007F07FE" w:rsidP="007F07FE">
      <w:pPr>
        <w:jc w:val="center"/>
        <w:rPr>
          <w:b/>
          <w:u w:val="single"/>
        </w:rPr>
      </w:pPr>
      <w:r w:rsidRPr="009209F0">
        <w:rPr>
          <w:b/>
          <w:u w:val="single"/>
        </w:rPr>
        <w:t>AMENDMENT HISTORY</w:t>
      </w:r>
    </w:p>
    <w:p w:rsidR="007F07FE" w:rsidRPr="009209F0" w:rsidRDefault="007F07FE" w:rsidP="007F07FE">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1546"/>
        <w:gridCol w:w="1452"/>
        <w:gridCol w:w="1826"/>
        <w:gridCol w:w="1669"/>
        <w:gridCol w:w="1324"/>
      </w:tblGrid>
      <w:tr w:rsidR="007F07FE" w:rsidTr="006A4C90">
        <w:tc>
          <w:tcPr>
            <w:tcW w:w="1242" w:type="dxa"/>
            <w:shd w:val="clear" w:color="auto" w:fill="auto"/>
          </w:tcPr>
          <w:p w:rsidR="007F07FE" w:rsidRPr="00E20717" w:rsidRDefault="007F07FE" w:rsidP="006A4C90">
            <w:pPr>
              <w:jc w:val="center"/>
              <w:rPr>
                <w:b/>
              </w:rPr>
            </w:pPr>
            <w:r w:rsidRPr="00E20717">
              <w:rPr>
                <w:b/>
              </w:rPr>
              <w:t>Version</w:t>
            </w:r>
          </w:p>
        </w:tc>
        <w:tc>
          <w:tcPr>
            <w:tcW w:w="1701" w:type="dxa"/>
            <w:shd w:val="clear" w:color="auto" w:fill="auto"/>
          </w:tcPr>
          <w:p w:rsidR="007F07FE" w:rsidRPr="00E20717" w:rsidRDefault="007F07FE" w:rsidP="006A4C90">
            <w:pPr>
              <w:jc w:val="center"/>
              <w:rPr>
                <w:b/>
              </w:rPr>
            </w:pPr>
            <w:r w:rsidRPr="00E20717">
              <w:rPr>
                <w:b/>
              </w:rPr>
              <w:t>Date</w:t>
            </w:r>
          </w:p>
        </w:tc>
        <w:tc>
          <w:tcPr>
            <w:tcW w:w="1560" w:type="dxa"/>
            <w:shd w:val="clear" w:color="auto" w:fill="auto"/>
          </w:tcPr>
          <w:p w:rsidR="007F07FE" w:rsidRPr="00E20717" w:rsidRDefault="007F07FE" w:rsidP="006A4C90">
            <w:pPr>
              <w:jc w:val="center"/>
              <w:rPr>
                <w:b/>
              </w:rPr>
            </w:pPr>
            <w:r w:rsidRPr="00E20717">
              <w:rPr>
                <w:b/>
              </w:rPr>
              <w:t>By</w:t>
            </w:r>
          </w:p>
        </w:tc>
        <w:tc>
          <w:tcPr>
            <w:tcW w:w="1997" w:type="dxa"/>
            <w:shd w:val="clear" w:color="auto" w:fill="auto"/>
          </w:tcPr>
          <w:p w:rsidR="007F07FE" w:rsidRPr="00E20717" w:rsidRDefault="007F07FE" w:rsidP="006A4C90">
            <w:pPr>
              <w:jc w:val="center"/>
              <w:rPr>
                <w:b/>
              </w:rPr>
            </w:pPr>
            <w:r w:rsidRPr="00E20717">
              <w:rPr>
                <w:b/>
              </w:rPr>
              <w:t>Updates</w:t>
            </w:r>
          </w:p>
        </w:tc>
        <w:tc>
          <w:tcPr>
            <w:tcW w:w="1784" w:type="dxa"/>
            <w:shd w:val="clear" w:color="auto" w:fill="auto"/>
          </w:tcPr>
          <w:p w:rsidR="007F07FE" w:rsidRPr="00E20717" w:rsidRDefault="007F07FE" w:rsidP="006A4C90">
            <w:pPr>
              <w:jc w:val="center"/>
              <w:rPr>
                <w:b/>
              </w:rPr>
            </w:pPr>
            <w:r w:rsidRPr="00E20717">
              <w:rPr>
                <w:b/>
              </w:rPr>
              <w:t>Date Approved</w:t>
            </w:r>
          </w:p>
        </w:tc>
        <w:tc>
          <w:tcPr>
            <w:tcW w:w="1571" w:type="dxa"/>
            <w:shd w:val="clear" w:color="auto" w:fill="auto"/>
          </w:tcPr>
          <w:p w:rsidR="007F07FE" w:rsidRPr="00E20717" w:rsidRDefault="007F07FE" w:rsidP="006A4C90">
            <w:pPr>
              <w:jc w:val="center"/>
              <w:rPr>
                <w:b/>
              </w:rPr>
            </w:pPr>
            <w:r w:rsidRPr="00E20717">
              <w:rPr>
                <w:b/>
              </w:rPr>
              <w:t>By</w:t>
            </w:r>
          </w:p>
        </w:tc>
      </w:tr>
      <w:tr w:rsidR="007F07FE" w:rsidTr="006A4C90">
        <w:tc>
          <w:tcPr>
            <w:tcW w:w="1242" w:type="dxa"/>
            <w:shd w:val="clear" w:color="auto" w:fill="auto"/>
          </w:tcPr>
          <w:p w:rsidR="007F07FE" w:rsidRDefault="007F07FE" w:rsidP="006A4C90">
            <w:r>
              <w:t>DRAFT 1.0</w:t>
            </w:r>
          </w:p>
        </w:tc>
        <w:tc>
          <w:tcPr>
            <w:tcW w:w="1701" w:type="dxa"/>
            <w:shd w:val="clear" w:color="auto" w:fill="auto"/>
          </w:tcPr>
          <w:p w:rsidR="007F07FE" w:rsidRDefault="007F07FE" w:rsidP="006A4C90">
            <w:r>
              <w:t>October 2015</w:t>
            </w:r>
          </w:p>
        </w:tc>
        <w:tc>
          <w:tcPr>
            <w:tcW w:w="1560" w:type="dxa"/>
            <w:shd w:val="clear" w:color="auto" w:fill="auto"/>
          </w:tcPr>
          <w:p w:rsidR="007F07FE" w:rsidRDefault="007F07FE" w:rsidP="006A4C90">
            <w:r>
              <w:t>Sue Madigan</w:t>
            </w:r>
          </w:p>
        </w:tc>
        <w:tc>
          <w:tcPr>
            <w:tcW w:w="1997" w:type="dxa"/>
            <w:shd w:val="clear" w:color="auto" w:fill="auto"/>
          </w:tcPr>
          <w:p w:rsidR="007F07FE" w:rsidRDefault="007F07FE" w:rsidP="006A4C90">
            <w:r>
              <w:t>Created from National Staff Handbook 2014</w:t>
            </w:r>
          </w:p>
        </w:tc>
        <w:tc>
          <w:tcPr>
            <w:tcW w:w="1784" w:type="dxa"/>
            <w:shd w:val="clear" w:color="auto" w:fill="auto"/>
          </w:tcPr>
          <w:p w:rsidR="007F07FE" w:rsidRDefault="007F07FE" w:rsidP="006A4C90"/>
        </w:tc>
        <w:tc>
          <w:tcPr>
            <w:tcW w:w="1571" w:type="dxa"/>
            <w:shd w:val="clear" w:color="auto" w:fill="auto"/>
          </w:tcPr>
          <w:p w:rsidR="007F07FE" w:rsidRDefault="007F07FE" w:rsidP="006A4C90"/>
        </w:tc>
      </w:tr>
      <w:tr w:rsidR="007F07FE" w:rsidTr="006A4C90">
        <w:tc>
          <w:tcPr>
            <w:tcW w:w="1242" w:type="dxa"/>
            <w:shd w:val="clear" w:color="auto" w:fill="auto"/>
          </w:tcPr>
          <w:p w:rsidR="007F07FE" w:rsidRDefault="007F07FE" w:rsidP="006A4C90"/>
        </w:tc>
        <w:tc>
          <w:tcPr>
            <w:tcW w:w="1701" w:type="dxa"/>
            <w:shd w:val="clear" w:color="auto" w:fill="auto"/>
          </w:tcPr>
          <w:p w:rsidR="007F07FE" w:rsidRDefault="007F07FE" w:rsidP="006A4C90"/>
        </w:tc>
        <w:tc>
          <w:tcPr>
            <w:tcW w:w="1560" w:type="dxa"/>
            <w:shd w:val="clear" w:color="auto" w:fill="auto"/>
          </w:tcPr>
          <w:p w:rsidR="007F07FE" w:rsidRDefault="007F07FE" w:rsidP="006A4C90"/>
        </w:tc>
        <w:tc>
          <w:tcPr>
            <w:tcW w:w="1997" w:type="dxa"/>
            <w:shd w:val="clear" w:color="auto" w:fill="auto"/>
          </w:tcPr>
          <w:p w:rsidR="007F07FE" w:rsidRDefault="007F07FE" w:rsidP="006A4C90"/>
        </w:tc>
        <w:tc>
          <w:tcPr>
            <w:tcW w:w="1784" w:type="dxa"/>
            <w:shd w:val="clear" w:color="auto" w:fill="auto"/>
          </w:tcPr>
          <w:p w:rsidR="007F07FE" w:rsidRDefault="007F07FE" w:rsidP="006A4C90"/>
        </w:tc>
        <w:tc>
          <w:tcPr>
            <w:tcW w:w="1571" w:type="dxa"/>
            <w:shd w:val="clear" w:color="auto" w:fill="auto"/>
          </w:tcPr>
          <w:p w:rsidR="007F07FE" w:rsidRDefault="007F07FE" w:rsidP="006A4C90"/>
        </w:tc>
      </w:tr>
      <w:tr w:rsidR="007F07FE" w:rsidTr="006A4C90">
        <w:tc>
          <w:tcPr>
            <w:tcW w:w="1242" w:type="dxa"/>
            <w:shd w:val="clear" w:color="auto" w:fill="auto"/>
          </w:tcPr>
          <w:p w:rsidR="007F07FE" w:rsidRDefault="007F07FE" w:rsidP="006A4C90"/>
        </w:tc>
        <w:tc>
          <w:tcPr>
            <w:tcW w:w="1701" w:type="dxa"/>
            <w:shd w:val="clear" w:color="auto" w:fill="auto"/>
          </w:tcPr>
          <w:p w:rsidR="007F07FE" w:rsidRDefault="007F07FE" w:rsidP="006A4C90"/>
        </w:tc>
        <w:tc>
          <w:tcPr>
            <w:tcW w:w="1560" w:type="dxa"/>
            <w:shd w:val="clear" w:color="auto" w:fill="auto"/>
          </w:tcPr>
          <w:p w:rsidR="007F07FE" w:rsidRDefault="007F07FE" w:rsidP="006A4C90"/>
        </w:tc>
        <w:tc>
          <w:tcPr>
            <w:tcW w:w="1997" w:type="dxa"/>
            <w:shd w:val="clear" w:color="auto" w:fill="auto"/>
          </w:tcPr>
          <w:p w:rsidR="007F07FE" w:rsidRDefault="007F07FE" w:rsidP="006A4C90"/>
        </w:tc>
        <w:tc>
          <w:tcPr>
            <w:tcW w:w="1784" w:type="dxa"/>
            <w:shd w:val="clear" w:color="auto" w:fill="auto"/>
          </w:tcPr>
          <w:p w:rsidR="007F07FE" w:rsidRDefault="007F07FE" w:rsidP="006A4C90"/>
        </w:tc>
        <w:tc>
          <w:tcPr>
            <w:tcW w:w="1571" w:type="dxa"/>
            <w:shd w:val="clear" w:color="auto" w:fill="auto"/>
          </w:tcPr>
          <w:p w:rsidR="007F07FE" w:rsidRDefault="007F07FE" w:rsidP="006A4C90"/>
        </w:tc>
      </w:tr>
      <w:tr w:rsidR="007F07FE" w:rsidTr="006A4C90">
        <w:tc>
          <w:tcPr>
            <w:tcW w:w="1242" w:type="dxa"/>
            <w:shd w:val="clear" w:color="auto" w:fill="auto"/>
          </w:tcPr>
          <w:p w:rsidR="007F07FE" w:rsidRDefault="007F07FE" w:rsidP="006A4C90"/>
        </w:tc>
        <w:tc>
          <w:tcPr>
            <w:tcW w:w="1701" w:type="dxa"/>
            <w:shd w:val="clear" w:color="auto" w:fill="auto"/>
          </w:tcPr>
          <w:p w:rsidR="007F07FE" w:rsidRDefault="007F07FE" w:rsidP="006A4C90"/>
        </w:tc>
        <w:tc>
          <w:tcPr>
            <w:tcW w:w="1560" w:type="dxa"/>
            <w:shd w:val="clear" w:color="auto" w:fill="auto"/>
          </w:tcPr>
          <w:p w:rsidR="007F07FE" w:rsidRDefault="007F07FE" w:rsidP="006A4C90"/>
        </w:tc>
        <w:tc>
          <w:tcPr>
            <w:tcW w:w="1997" w:type="dxa"/>
            <w:shd w:val="clear" w:color="auto" w:fill="auto"/>
          </w:tcPr>
          <w:p w:rsidR="007F07FE" w:rsidRDefault="007F07FE" w:rsidP="006A4C90"/>
        </w:tc>
        <w:tc>
          <w:tcPr>
            <w:tcW w:w="1784" w:type="dxa"/>
            <w:shd w:val="clear" w:color="auto" w:fill="auto"/>
          </w:tcPr>
          <w:p w:rsidR="007F07FE" w:rsidRDefault="007F07FE" w:rsidP="006A4C90"/>
        </w:tc>
        <w:tc>
          <w:tcPr>
            <w:tcW w:w="1571" w:type="dxa"/>
            <w:shd w:val="clear" w:color="auto" w:fill="auto"/>
          </w:tcPr>
          <w:p w:rsidR="007F07FE" w:rsidRDefault="007F07FE" w:rsidP="006A4C90"/>
        </w:tc>
      </w:tr>
      <w:tr w:rsidR="007F07FE" w:rsidTr="006A4C90">
        <w:tc>
          <w:tcPr>
            <w:tcW w:w="1242" w:type="dxa"/>
            <w:shd w:val="clear" w:color="auto" w:fill="auto"/>
          </w:tcPr>
          <w:p w:rsidR="007F07FE" w:rsidRDefault="007F07FE" w:rsidP="006A4C90"/>
        </w:tc>
        <w:tc>
          <w:tcPr>
            <w:tcW w:w="1701" w:type="dxa"/>
            <w:shd w:val="clear" w:color="auto" w:fill="auto"/>
          </w:tcPr>
          <w:p w:rsidR="007F07FE" w:rsidRDefault="007F07FE" w:rsidP="006A4C90"/>
        </w:tc>
        <w:tc>
          <w:tcPr>
            <w:tcW w:w="1560" w:type="dxa"/>
            <w:shd w:val="clear" w:color="auto" w:fill="auto"/>
          </w:tcPr>
          <w:p w:rsidR="007F07FE" w:rsidRDefault="007F07FE" w:rsidP="006A4C90"/>
        </w:tc>
        <w:tc>
          <w:tcPr>
            <w:tcW w:w="1997" w:type="dxa"/>
            <w:shd w:val="clear" w:color="auto" w:fill="auto"/>
          </w:tcPr>
          <w:p w:rsidR="007F07FE" w:rsidRDefault="007F07FE" w:rsidP="006A4C90"/>
        </w:tc>
        <w:tc>
          <w:tcPr>
            <w:tcW w:w="1784" w:type="dxa"/>
            <w:shd w:val="clear" w:color="auto" w:fill="auto"/>
          </w:tcPr>
          <w:p w:rsidR="007F07FE" w:rsidRDefault="007F07FE" w:rsidP="006A4C90"/>
        </w:tc>
        <w:tc>
          <w:tcPr>
            <w:tcW w:w="1571" w:type="dxa"/>
            <w:shd w:val="clear" w:color="auto" w:fill="auto"/>
          </w:tcPr>
          <w:p w:rsidR="007F07FE" w:rsidRDefault="007F07FE" w:rsidP="006A4C90"/>
        </w:tc>
      </w:tr>
      <w:tr w:rsidR="007F07FE" w:rsidTr="006A4C90">
        <w:tc>
          <w:tcPr>
            <w:tcW w:w="1242" w:type="dxa"/>
            <w:shd w:val="clear" w:color="auto" w:fill="auto"/>
          </w:tcPr>
          <w:p w:rsidR="007F07FE" w:rsidRDefault="007F07FE" w:rsidP="006A4C90"/>
        </w:tc>
        <w:tc>
          <w:tcPr>
            <w:tcW w:w="1701" w:type="dxa"/>
            <w:shd w:val="clear" w:color="auto" w:fill="auto"/>
          </w:tcPr>
          <w:p w:rsidR="007F07FE" w:rsidRDefault="007F07FE" w:rsidP="006A4C90"/>
        </w:tc>
        <w:tc>
          <w:tcPr>
            <w:tcW w:w="1560" w:type="dxa"/>
            <w:shd w:val="clear" w:color="auto" w:fill="auto"/>
          </w:tcPr>
          <w:p w:rsidR="007F07FE" w:rsidRDefault="007F07FE" w:rsidP="006A4C90"/>
        </w:tc>
        <w:tc>
          <w:tcPr>
            <w:tcW w:w="1997" w:type="dxa"/>
            <w:shd w:val="clear" w:color="auto" w:fill="auto"/>
          </w:tcPr>
          <w:p w:rsidR="007F07FE" w:rsidRDefault="007F07FE" w:rsidP="006A4C90"/>
        </w:tc>
        <w:tc>
          <w:tcPr>
            <w:tcW w:w="1784" w:type="dxa"/>
            <w:shd w:val="clear" w:color="auto" w:fill="auto"/>
          </w:tcPr>
          <w:p w:rsidR="007F07FE" w:rsidRDefault="007F07FE" w:rsidP="006A4C90"/>
        </w:tc>
        <w:tc>
          <w:tcPr>
            <w:tcW w:w="1571" w:type="dxa"/>
            <w:shd w:val="clear" w:color="auto" w:fill="auto"/>
          </w:tcPr>
          <w:p w:rsidR="007F07FE" w:rsidRDefault="007F07FE" w:rsidP="006A4C90"/>
        </w:tc>
      </w:tr>
      <w:tr w:rsidR="007F07FE" w:rsidTr="006A4C90">
        <w:tc>
          <w:tcPr>
            <w:tcW w:w="1242" w:type="dxa"/>
            <w:shd w:val="clear" w:color="auto" w:fill="auto"/>
          </w:tcPr>
          <w:p w:rsidR="007F07FE" w:rsidRDefault="007F07FE" w:rsidP="006A4C90"/>
        </w:tc>
        <w:tc>
          <w:tcPr>
            <w:tcW w:w="1701" w:type="dxa"/>
            <w:shd w:val="clear" w:color="auto" w:fill="auto"/>
          </w:tcPr>
          <w:p w:rsidR="007F07FE" w:rsidRDefault="007F07FE" w:rsidP="006A4C90"/>
        </w:tc>
        <w:tc>
          <w:tcPr>
            <w:tcW w:w="1560" w:type="dxa"/>
            <w:shd w:val="clear" w:color="auto" w:fill="auto"/>
          </w:tcPr>
          <w:p w:rsidR="007F07FE" w:rsidRDefault="007F07FE" w:rsidP="006A4C90"/>
        </w:tc>
        <w:tc>
          <w:tcPr>
            <w:tcW w:w="1997" w:type="dxa"/>
            <w:shd w:val="clear" w:color="auto" w:fill="auto"/>
          </w:tcPr>
          <w:p w:rsidR="007F07FE" w:rsidRDefault="007F07FE" w:rsidP="006A4C90"/>
        </w:tc>
        <w:tc>
          <w:tcPr>
            <w:tcW w:w="1784" w:type="dxa"/>
            <w:shd w:val="clear" w:color="auto" w:fill="auto"/>
          </w:tcPr>
          <w:p w:rsidR="007F07FE" w:rsidRDefault="007F07FE" w:rsidP="006A4C90"/>
        </w:tc>
        <w:tc>
          <w:tcPr>
            <w:tcW w:w="1571" w:type="dxa"/>
            <w:shd w:val="clear" w:color="auto" w:fill="auto"/>
          </w:tcPr>
          <w:p w:rsidR="007F07FE" w:rsidRDefault="007F07FE" w:rsidP="006A4C90"/>
        </w:tc>
      </w:tr>
      <w:tr w:rsidR="007F07FE" w:rsidTr="006A4C90">
        <w:tc>
          <w:tcPr>
            <w:tcW w:w="1242" w:type="dxa"/>
            <w:shd w:val="clear" w:color="auto" w:fill="auto"/>
          </w:tcPr>
          <w:p w:rsidR="007F07FE" w:rsidRDefault="007F07FE" w:rsidP="006A4C90"/>
        </w:tc>
        <w:tc>
          <w:tcPr>
            <w:tcW w:w="1701" w:type="dxa"/>
            <w:shd w:val="clear" w:color="auto" w:fill="auto"/>
          </w:tcPr>
          <w:p w:rsidR="007F07FE" w:rsidRDefault="007F07FE" w:rsidP="006A4C90"/>
        </w:tc>
        <w:tc>
          <w:tcPr>
            <w:tcW w:w="1560" w:type="dxa"/>
            <w:shd w:val="clear" w:color="auto" w:fill="auto"/>
          </w:tcPr>
          <w:p w:rsidR="007F07FE" w:rsidRDefault="007F07FE" w:rsidP="006A4C90"/>
        </w:tc>
        <w:tc>
          <w:tcPr>
            <w:tcW w:w="1997" w:type="dxa"/>
            <w:shd w:val="clear" w:color="auto" w:fill="auto"/>
          </w:tcPr>
          <w:p w:rsidR="007F07FE" w:rsidRDefault="007F07FE" w:rsidP="006A4C90"/>
        </w:tc>
        <w:tc>
          <w:tcPr>
            <w:tcW w:w="1784" w:type="dxa"/>
            <w:shd w:val="clear" w:color="auto" w:fill="auto"/>
          </w:tcPr>
          <w:p w:rsidR="007F07FE" w:rsidRDefault="007F07FE" w:rsidP="006A4C90"/>
        </w:tc>
        <w:tc>
          <w:tcPr>
            <w:tcW w:w="1571" w:type="dxa"/>
            <w:shd w:val="clear" w:color="auto" w:fill="auto"/>
          </w:tcPr>
          <w:p w:rsidR="007F07FE" w:rsidRDefault="007F07FE" w:rsidP="006A4C90"/>
        </w:tc>
      </w:tr>
      <w:tr w:rsidR="007F07FE" w:rsidTr="006A4C90">
        <w:tc>
          <w:tcPr>
            <w:tcW w:w="1242" w:type="dxa"/>
            <w:shd w:val="clear" w:color="auto" w:fill="auto"/>
          </w:tcPr>
          <w:p w:rsidR="007F07FE" w:rsidRDefault="007F07FE" w:rsidP="006A4C90"/>
        </w:tc>
        <w:tc>
          <w:tcPr>
            <w:tcW w:w="1701" w:type="dxa"/>
            <w:shd w:val="clear" w:color="auto" w:fill="auto"/>
          </w:tcPr>
          <w:p w:rsidR="007F07FE" w:rsidRDefault="007F07FE" w:rsidP="006A4C90"/>
        </w:tc>
        <w:tc>
          <w:tcPr>
            <w:tcW w:w="1560" w:type="dxa"/>
            <w:shd w:val="clear" w:color="auto" w:fill="auto"/>
          </w:tcPr>
          <w:p w:rsidR="007F07FE" w:rsidRDefault="007F07FE" w:rsidP="006A4C90"/>
        </w:tc>
        <w:tc>
          <w:tcPr>
            <w:tcW w:w="1997" w:type="dxa"/>
            <w:shd w:val="clear" w:color="auto" w:fill="auto"/>
          </w:tcPr>
          <w:p w:rsidR="007F07FE" w:rsidRDefault="007F07FE" w:rsidP="006A4C90"/>
        </w:tc>
        <w:tc>
          <w:tcPr>
            <w:tcW w:w="1784" w:type="dxa"/>
            <w:shd w:val="clear" w:color="auto" w:fill="auto"/>
          </w:tcPr>
          <w:p w:rsidR="007F07FE" w:rsidRDefault="007F07FE" w:rsidP="006A4C90"/>
        </w:tc>
        <w:tc>
          <w:tcPr>
            <w:tcW w:w="1571" w:type="dxa"/>
            <w:shd w:val="clear" w:color="auto" w:fill="auto"/>
          </w:tcPr>
          <w:p w:rsidR="007F07FE" w:rsidRDefault="007F07FE" w:rsidP="006A4C90"/>
        </w:tc>
      </w:tr>
    </w:tbl>
    <w:p w:rsidR="007F07FE" w:rsidRPr="001431B4" w:rsidRDefault="007F07FE" w:rsidP="007F07FE"/>
    <w:p w:rsidR="00BC5F50" w:rsidRDefault="00BC5F50">
      <w:pPr>
        <w:spacing w:after="160" w:line="259" w:lineRule="auto"/>
      </w:pPr>
      <w:r>
        <w:br w:type="page"/>
      </w:r>
    </w:p>
    <w:p w:rsidR="00E56D7D" w:rsidRPr="001431B4" w:rsidRDefault="00E56D7D" w:rsidP="00E56D7D">
      <w:bookmarkStart w:id="1" w:name="_GoBack"/>
      <w:bookmarkEnd w:id="1"/>
    </w:p>
    <w:p w:rsidR="00E56D7D" w:rsidRPr="00F140F3" w:rsidRDefault="00E56D7D" w:rsidP="00E56D7D">
      <w:pPr>
        <w:pStyle w:val="Heading1"/>
      </w:pPr>
      <w:r w:rsidRPr="00F140F3">
        <w:t>Policy</w:t>
      </w:r>
    </w:p>
    <w:p w:rsidR="00E56D7D" w:rsidRPr="001431B4" w:rsidRDefault="00E56D7D" w:rsidP="00E56D7D"/>
    <w:p w:rsidR="00E56D7D" w:rsidRPr="0078268A" w:rsidRDefault="00E56D7D" w:rsidP="00E56D7D">
      <w:pPr>
        <w:pStyle w:val="leglisttextstandard1"/>
        <w:rPr>
          <w:rFonts w:ascii="Arial" w:hAnsi="Arial" w:cs="Arial"/>
          <w:sz w:val="23"/>
          <w:szCs w:val="23"/>
        </w:rPr>
      </w:pPr>
      <w:r w:rsidRPr="0078268A">
        <w:rPr>
          <w:rFonts w:ascii="Arial" w:hAnsi="Arial" w:cs="Arial"/>
          <w:sz w:val="23"/>
          <w:szCs w:val="23"/>
        </w:rPr>
        <w:t xml:space="preserve">Harassment is a distressing, unpleasant experience and Relationships Scotland seeks to maintain a non-discriminatory working environment which is free of harassment and bullying, particularly of a nature that breaches the Equality Act 2010 in respect of the </w:t>
      </w:r>
      <w:r>
        <w:rPr>
          <w:rFonts w:ascii="Arial" w:hAnsi="Arial" w:cs="Arial"/>
          <w:sz w:val="23"/>
          <w:szCs w:val="23"/>
        </w:rPr>
        <w:t>nine</w:t>
      </w:r>
      <w:r w:rsidRPr="0078268A">
        <w:rPr>
          <w:rFonts w:ascii="Arial" w:hAnsi="Arial" w:cs="Arial"/>
          <w:sz w:val="23"/>
          <w:szCs w:val="23"/>
        </w:rPr>
        <w:t xml:space="preserve"> protected characteristics defined i.e. </w:t>
      </w:r>
      <w:r>
        <w:rPr>
          <w:rFonts w:ascii="Arial" w:hAnsi="Arial" w:cs="Arial"/>
          <w:sz w:val="23"/>
          <w:szCs w:val="23"/>
        </w:rPr>
        <w:t xml:space="preserve">gender; age; </w:t>
      </w:r>
      <w:r>
        <w:rPr>
          <w:rFonts w:ascii="Arial" w:hAnsi="Arial" w:cs="Arial"/>
          <w:sz w:val="23"/>
          <w:szCs w:val="23"/>
          <w:lang w:val="en"/>
        </w:rPr>
        <w:t>disability;</w:t>
      </w:r>
      <w:r w:rsidRPr="0078268A">
        <w:rPr>
          <w:rFonts w:ascii="Arial" w:hAnsi="Arial" w:cs="Arial"/>
          <w:sz w:val="23"/>
          <w:szCs w:val="23"/>
          <w:lang w:val="en"/>
        </w:rPr>
        <w:t xml:space="preserve"> gender reassignment,</w:t>
      </w:r>
      <w:r>
        <w:rPr>
          <w:rFonts w:ascii="Arial" w:hAnsi="Arial" w:cs="Arial"/>
          <w:sz w:val="23"/>
          <w:szCs w:val="23"/>
          <w:lang w:val="en"/>
        </w:rPr>
        <w:t xml:space="preserve"> marriage and civil partnership;</w:t>
      </w:r>
      <w:r w:rsidRPr="0078268A">
        <w:rPr>
          <w:rFonts w:ascii="Arial" w:hAnsi="Arial" w:cs="Arial"/>
          <w:sz w:val="23"/>
          <w:szCs w:val="23"/>
          <w:lang w:val="en"/>
        </w:rPr>
        <w:t xml:space="preserve"> race</w:t>
      </w:r>
      <w:r>
        <w:rPr>
          <w:rFonts w:ascii="Arial" w:hAnsi="Arial" w:cs="Arial"/>
          <w:sz w:val="23"/>
          <w:szCs w:val="23"/>
          <w:lang w:val="en"/>
        </w:rPr>
        <w:t>;</w:t>
      </w:r>
      <w:r w:rsidRPr="0078268A">
        <w:rPr>
          <w:rFonts w:ascii="Arial" w:hAnsi="Arial" w:cs="Arial"/>
          <w:sz w:val="23"/>
          <w:szCs w:val="23"/>
          <w:lang w:val="en"/>
        </w:rPr>
        <w:t xml:space="preserve"> religion or belief</w:t>
      </w:r>
      <w:r>
        <w:rPr>
          <w:rFonts w:ascii="Arial" w:hAnsi="Arial" w:cs="Arial"/>
          <w:sz w:val="23"/>
          <w:szCs w:val="23"/>
          <w:lang w:val="en"/>
        </w:rPr>
        <w:t>;</w:t>
      </w:r>
      <w:r w:rsidRPr="0078268A">
        <w:rPr>
          <w:rFonts w:ascii="Arial" w:hAnsi="Arial" w:cs="Arial"/>
          <w:sz w:val="23"/>
          <w:szCs w:val="23"/>
          <w:lang w:val="en"/>
        </w:rPr>
        <w:t xml:space="preserve"> sexual orienta</w:t>
      </w:r>
      <w:r>
        <w:rPr>
          <w:rFonts w:ascii="Arial" w:hAnsi="Arial" w:cs="Arial"/>
          <w:sz w:val="23"/>
          <w:szCs w:val="23"/>
          <w:lang w:val="en"/>
        </w:rPr>
        <w:t>tion: heterosexual, lesbian gay and bisexual.</w:t>
      </w:r>
    </w:p>
    <w:p w:rsidR="00E56D7D" w:rsidRPr="001431B4" w:rsidRDefault="00E56D7D" w:rsidP="00E56D7D">
      <w:r w:rsidRPr="001431B4">
        <w:t xml:space="preserve">All allegations of harassment </w:t>
      </w:r>
      <w:r>
        <w:t xml:space="preserve">and/or bullying </w:t>
      </w:r>
      <w:r w:rsidRPr="001431B4">
        <w:t>will be dealt with sensitively, thoroughly, promptly and, where possible, in confidence.</w:t>
      </w:r>
    </w:p>
    <w:p w:rsidR="00E56D7D" w:rsidRPr="001431B4" w:rsidRDefault="00E56D7D" w:rsidP="00E56D7D">
      <w:r w:rsidRPr="001431B4">
        <w:t xml:space="preserve">Harassment </w:t>
      </w:r>
      <w:r>
        <w:t xml:space="preserve">or bullying </w:t>
      </w:r>
      <w:r w:rsidRPr="001431B4">
        <w:t xml:space="preserve">on the grounds of </w:t>
      </w:r>
      <w:r>
        <w:t>gender; sexual orientation; transgender identity; race;</w:t>
      </w:r>
      <w:r w:rsidRPr="001431B4">
        <w:t xml:space="preserve"> religion</w:t>
      </w:r>
      <w:r>
        <w:t xml:space="preserve"> or belief; pregnancy and maternity; </w:t>
      </w:r>
      <w:r w:rsidRPr="001431B4">
        <w:t xml:space="preserve">age or disability is unlawful, and both Relationships Scotland and the harasser may be legally liable.  </w:t>
      </w:r>
    </w:p>
    <w:p w:rsidR="00E56D7D" w:rsidRPr="001431B4" w:rsidRDefault="00E56D7D" w:rsidP="00E56D7D">
      <w:r w:rsidRPr="001431B4">
        <w:t xml:space="preserve">Harassment </w:t>
      </w:r>
      <w:r>
        <w:t xml:space="preserve">or bullying </w:t>
      </w:r>
      <w:r w:rsidRPr="001431B4">
        <w:t xml:space="preserve">may take many forms, from “banter” to actual physical violence.  It may be repeated behaviour, or in serious cases, may involve only a single incident. </w:t>
      </w:r>
    </w:p>
    <w:p w:rsidR="00E56D7D" w:rsidRPr="00F140F3" w:rsidRDefault="00E56D7D" w:rsidP="00E56D7D">
      <w:pPr>
        <w:pStyle w:val="Heading1"/>
      </w:pPr>
      <w:r w:rsidRPr="00F140F3">
        <w:t>Examples of harassment</w:t>
      </w:r>
    </w:p>
    <w:p w:rsidR="00E56D7D" w:rsidRPr="001431B4" w:rsidRDefault="00E56D7D" w:rsidP="00E56D7D"/>
    <w:p w:rsidR="00AB1FFA" w:rsidRPr="001431B4" w:rsidRDefault="00AB1FFA" w:rsidP="00AB1FFA">
      <w:r w:rsidRPr="001431B4">
        <w:t>The</w:t>
      </w:r>
      <w:r>
        <w:t>se</w:t>
      </w:r>
      <w:r w:rsidRPr="001431B4">
        <w:t xml:space="preserve"> are examples only of what may be considered inappropriate. It must be borne in mind that it is for each individual to determine what behaviour is acceptable to them and what they consider offensive.  </w:t>
      </w:r>
    </w:p>
    <w:p w:rsidR="00E56D7D" w:rsidRPr="00AB1FFA" w:rsidRDefault="00E56D7D" w:rsidP="00E56D7D">
      <w:pPr>
        <w:rPr>
          <w:i/>
        </w:rPr>
      </w:pPr>
      <w:r w:rsidRPr="00AB1FFA">
        <w:rPr>
          <w:i/>
        </w:rPr>
        <w:t xml:space="preserve">Insults, derogatory comments, ridicule, pranks or “jokes” of a sexual, homophobic, </w:t>
      </w:r>
      <w:proofErr w:type="spellStart"/>
      <w:r w:rsidRPr="00AB1FFA">
        <w:rPr>
          <w:i/>
        </w:rPr>
        <w:t>biphobic</w:t>
      </w:r>
      <w:proofErr w:type="spellEnd"/>
      <w:r w:rsidRPr="00AB1FFA">
        <w:rPr>
          <w:i/>
        </w:rPr>
        <w:t>, transphobic, racial or religious nature or regarding someone’s age or disability</w:t>
      </w:r>
    </w:p>
    <w:p w:rsidR="00E56D7D" w:rsidRPr="00AB1FFA" w:rsidRDefault="00E56D7D" w:rsidP="00E56D7D">
      <w:pPr>
        <w:rPr>
          <w:i/>
        </w:rPr>
      </w:pPr>
      <w:r w:rsidRPr="00AB1FFA">
        <w:rPr>
          <w:i/>
        </w:rPr>
        <w:t>Lewd or suggestive comments about appearances or personal life and perceived sexual activities</w:t>
      </w:r>
    </w:p>
    <w:p w:rsidR="00E56D7D" w:rsidRPr="00AB1FFA" w:rsidRDefault="00E56D7D" w:rsidP="00E56D7D">
      <w:pPr>
        <w:rPr>
          <w:i/>
        </w:rPr>
      </w:pPr>
      <w:r w:rsidRPr="00AB1FFA">
        <w:rPr>
          <w:i/>
        </w:rPr>
        <w:t>Inappropriate body contact</w:t>
      </w:r>
    </w:p>
    <w:p w:rsidR="00E56D7D" w:rsidRPr="00AB1FFA" w:rsidRDefault="00E56D7D" w:rsidP="00E56D7D">
      <w:pPr>
        <w:rPr>
          <w:i/>
        </w:rPr>
      </w:pPr>
      <w:r w:rsidRPr="00AB1FFA">
        <w:rPr>
          <w:i/>
        </w:rPr>
        <w:t>Display or circulation of inappropriate sexual material (e.g. pin-ups), or racist material</w:t>
      </w:r>
    </w:p>
    <w:p w:rsidR="00E56D7D" w:rsidRPr="00AB1FFA" w:rsidRDefault="00E56D7D" w:rsidP="00E56D7D">
      <w:pPr>
        <w:rPr>
          <w:i/>
        </w:rPr>
      </w:pPr>
      <w:r w:rsidRPr="00AB1FFA">
        <w:rPr>
          <w:i/>
        </w:rPr>
        <w:t>Requests for sexual favours, including the threat of dismissal, loss of promotion for refusal</w:t>
      </w:r>
    </w:p>
    <w:p w:rsidR="00E56D7D" w:rsidRPr="00AB1FFA" w:rsidRDefault="00E56D7D" w:rsidP="00E56D7D">
      <w:pPr>
        <w:rPr>
          <w:i/>
        </w:rPr>
      </w:pPr>
      <w:r w:rsidRPr="00AB1FFA">
        <w:rPr>
          <w:i/>
        </w:rPr>
        <w:t>The issuing of menial or demeaning tasks simply on the grounds of someone’s age or disability.</w:t>
      </w:r>
    </w:p>
    <w:p w:rsidR="00E56D7D" w:rsidRPr="001431B4" w:rsidRDefault="00E56D7D" w:rsidP="00E56D7D"/>
    <w:p w:rsidR="00E56D7D" w:rsidRPr="001431B4" w:rsidRDefault="00E56D7D" w:rsidP="00E56D7D"/>
    <w:p w:rsidR="00E56D7D" w:rsidRPr="00F140F3" w:rsidRDefault="00E56D7D" w:rsidP="00E56D7D">
      <w:pPr>
        <w:pStyle w:val="Heading1"/>
      </w:pPr>
      <w:r w:rsidRPr="00F140F3">
        <w:t>Remedies</w:t>
      </w:r>
    </w:p>
    <w:p w:rsidR="00E56D7D" w:rsidRPr="001431B4" w:rsidRDefault="00E56D7D" w:rsidP="00E56D7D"/>
    <w:p w:rsidR="00E56D7D" w:rsidRPr="001431B4" w:rsidRDefault="00E56D7D" w:rsidP="00E56D7D">
      <w:r w:rsidRPr="001431B4">
        <w:t xml:space="preserve">Employees who feel that they are being harassed, or are uncomfortable about an aspect of the work environment should make it clear to the harasser that the behaviour is unacceptable.  Relationships Scotland recognises that the employee may feel unable in some cases to approach the harasser directly, and advice can be sought from the </w:t>
      </w:r>
      <w:r>
        <w:t>Service and Development Manager</w:t>
      </w:r>
      <w:r w:rsidRPr="001431B4">
        <w:t xml:space="preserve"> on how the matter can be dealt with informally.</w:t>
      </w:r>
    </w:p>
    <w:p w:rsidR="00E56D7D" w:rsidRPr="001431B4" w:rsidRDefault="00E56D7D" w:rsidP="00E56D7D">
      <w:r w:rsidRPr="001431B4">
        <w:t xml:space="preserve">If any informal approaches are ineffective, or in the cases of serious harassment or bullying, employees should bring a formal complaint in writing under Relationships Scotland’s grievance procedure. In view of the sensitivity of the complaint, the employee may wish to approach the </w:t>
      </w:r>
      <w:r>
        <w:t>Chairman of the Board of Trustees</w:t>
      </w:r>
      <w:r w:rsidRPr="001431B4">
        <w:t xml:space="preserve"> at first instance directly rather than his/her immediate line manager.</w:t>
      </w:r>
    </w:p>
    <w:p w:rsidR="00E56D7D" w:rsidRPr="001431B4" w:rsidRDefault="00E56D7D" w:rsidP="00E56D7D">
      <w:r w:rsidRPr="001431B4">
        <w:t>Any employee who is accused of harassment or bullying will be dealt with under Relationships Scotland’s disciplinary procedure.  Depending on the nature of the complaint, it may be necessary to temporarily transfer the alleged harasser to another department, or where this is not possible to suspend him or her on full pay.</w:t>
      </w:r>
    </w:p>
    <w:p w:rsidR="00E56D7D" w:rsidRPr="001431B4" w:rsidRDefault="00E56D7D" w:rsidP="00E56D7D">
      <w:r w:rsidRPr="001431B4">
        <w:t>All parties involved in any complaint are expected to respect the need for confidentiality during the resolution of any complaints, and disciplinary action may be taken against any party who breaches this.</w:t>
      </w:r>
    </w:p>
    <w:p w:rsidR="00E56D7D" w:rsidRPr="001431B4" w:rsidRDefault="00E56D7D" w:rsidP="00E56D7D">
      <w:r w:rsidRPr="001431B4">
        <w:t>Where an employee is found guilty of an act of harassment or bullying, he or she will be dealt with in terms of Relationships Scotland’s disciplinary procedure. In serious cases of harassment or bullying, the harasser may be summarily dismissed.</w:t>
      </w:r>
    </w:p>
    <w:p w:rsidR="00E56D7D" w:rsidRDefault="00E56D7D" w:rsidP="00E56D7D">
      <w:r w:rsidRPr="001431B4">
        <w:t>No detriment will occur against any employee who brings a complaint of harassment or bullying, unless it can be shown that the complaint was brought in bad faith or spitefully.  In this case, the employee will be dealt with through Relationships Scotland’s disciplinary procedure.</w:t>
      </w:r>
    </w:p>
    <w:p w:rsidR="00D3237A" w:rsidRDefault="00D3237A" w:rsidP="00E56D7D"/>
    <w:sectPr w:rsidR="00D3237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52C" w:rsidRDefault="0025452C" w:rsidP="0025452C">
      <w:pPr>
        <w:spacing w:after="0" w:line="240" w:lineRule="auto"/>
      </w:pPr>
      <w:r>
        <w:separator/>
      </w:r>
    </w:p>
  </w:endnote>
  <w:endnote w:type="continuationSeparator" w:id="0">
    <w:p w:rsidR="0025452C" w:rsidRDefault="0025452C" w:rsidP="00254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115633"/>
      <w:docPartObj>
        <w:docPartGallery w:val="Page Numbers (Bottom of Page)"/>
        <w:docPartUnique/>
      </w:docPartObj>
    </w:sdtPr>
    <w:sdtEndPr>
      <w:rPr>
        <w:color w:val="7F7F7F" w:themeColor="background1" w:themeShade="7F"/>
        <w:spacing w:val="60"/>
      </w:rPr>
    </w:sdtEndPr>
    <w:sdtContent>
      <w:p w:rsidR="0025452C" w:rsidRDefault="004F7C30" w:rsidP="00AB1FFA">
        <w:pPr>
          <w:pStyle w:val="Footer"/>
          <w:pBdr>
            <w:top w:val="single" w:sz="4" w:space="0" w:color="D9D9D9" w:themeColor="background1" w:themeShade="D9"/>
          </w:pBdr>
        </w:pPr>
        <w:fldSimple w:instr=" FILENAME \* MERGEFORMAT ">
          <w:r w:rsidR="00AB1FFA">
            <w:rPr>
              <w:noProof/>
            </w:rPr>
            <w:t>Anti Bullying and Harassment Policy</w:t>
          </w:r>
        </w:fldSimple>
        <w:r w:rsidR="00AB1FFA">
          <w:tab/>
        </w:r>
        <w:r w:rsidR="00AB1FFA">
          <w:tab/>
        </w:r>
        <w:r w:rsidR="0025452C">
          <w:fldChar w:fldCharType="begin"/>
        </w:r>
        <w:r w:rsidR="0025452C">
          <w:instrText xml:space="preserve"> PAGE   \* MERGEFORMAT </w:instrText>
        </w:r>
        <w:r w:rsidR="0025452C">
          <w:fldChar w:fldCharType="separate"/>
        </w:r>
        <w:r w:rsidR="00BC5F50">
          <w:rPr>
            <w:noProof/>
          </w:rPr>
          <w:t>4</w:t>
        </w:r>
        <w:r w:rsidR="0025452C">
          <w:rPr>
            <w:noProof/>
          </w:rPr>
          <w:fldChar w:fldCharType="end"/>
        </w:r>
        <w:r w:rsidR="0025452C">
          <w:t xml:space="preserve"> | </w:t>
        </w:r>
        <w:r w:rsidR="0025452C">
          <w:rPr>
            <w:color w:val="7F7F7F" w:themeColor="background1" w:themeShade="7F"/>
            <w:spacing w:val="60"/>
          </w:rPr>
          <w:t>Page</w:t>
        </w:r>
      </w:p>
    </w:sdtContent>
  </w:sdt>
  <w:p w:rsidR="0025452C" w:rsidRDefault="00254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52C" w:rsidRDefault="0025452C" w:rsidP="0025452C">
      <w:pPr>
        <w:spacing w:after="0" w:line="240" w:lineRule="auto"/>
      </w:pPr>
      <w:r>
        <w:separator/>
      </w:r>
    </w:p>
  </w:footnote>
  <w:footnote w:type="continuationSeparator" w:id="0">
    <w:p w:rsidR="0025452C" w:rsidRDefault="0025452C" w:rsidP="00254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52C" w:rsidRDefault="0025452C" w:rsidP="0025452C">
    <w:pPr>
      <w:pStyle w:val="Header"/>
      <w:jc w:val="right"/>
    </w:pPr>
    <w:r>
      <w:rPr>
        <w:noProof/>
      </w:rPr>
      <w:drawing>
        <wp:inline distT="0" distB="0" distL="0" distR="0" wp14:anchorId="0C196708" wp14:editId="45924C23">
          <wp:extent cx="2333625" cy="1304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1304925"/>
                  </a:xfrm>
                  <a:prstGeom prst="rect">
                    <a:avLst/>
                  </a:prstGeom>
                  <a:noFill/>
                  <a:ln>
                    <a:noFill/>
                  </a:ln>
                </pic:spPr>
              </pic:pic>
            </a:graphicData>
          </a:graphic>
        </wp:inline>
      </w:drawing>
    </w:r>
  </w:p>
  <w:p w:rsidR="0025452C" w:rsidRDefault="002545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F0B5D"/>
    <w:multiLevelType w:val="multilevel"/>
    <w:tmpl w:val="4450288A"/>
    <w:lvl w:ilvl="0">
      <w:start w:val="1"/>
      <w:numFmt w:val="decimal"/>
      <w:pStyle w:val="Appendix"/>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CF97A5E"/>
    <w:multiLevelType w:val="multilevel"/>
    <w:tmpl w:val="3AF419C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6AEB1A10"/>
    <w:multiLevelType w:val="multilevel"/>
    <w:tmpl w:val="36AE331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7D"/>
    <w:rsid w:val="0025452C"/>
    <w:rsid w:val="004F7C30"/>
    <w:rsid w:val="007F07FE"/>
    <w:rsid w:val="00AB1FFA"/>
    <w:rsid w:val="00B55A8E"/>
    <w:rsid w:val="00BC5F50"/>
    <w:rsid w:val="00D3237A"/>
    <w:rsid w:val="00E56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930901E-8E96-41F1-B68C-A2FBC392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D7D"/>
    <w:pPr>
      <w:spacing w:after="120" w:line="264" w:lineRule="auto"/>
    </w:pPr>
    <w:rPr>
      <w:rFonts w:ascii="Arial" w:eastAsia="Times New Roman" w:hAnsi="Arial" w:cs="Times New Roman"/>
      <w:sz w:val="23"/>
      <w:szCs w:val="21"/>
      <w:lang w:eastAsia="en-GB"/>
    </w:rPr>
  </w:style>
  <w:style w:type="paragraph" w:styleId="Heading1">
    <w:name w:val="heading 1"/>
    <w:basedOn w:val="Normal"/>
    <w:next w:val="Normal"/>
    <w:link w:val="Heading1Char"/>
    <w:uiPriority w:val="9"/>
    <w:qFormat/>
    <w:rsid w:val="00E56D7D"/>
    <w:pPr>
      <w:keepNext/>
      <w:keepLines/>
      <w:numPr>
        <w:numId w:val="2"/>
      </w:numPr>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Heading2">
    <w:name w:val="heading 2"/>
    <w:basedOn w:val="Normal"/>
    <w:next w:val="Normal"/>
    <w:link w:val="Heading2Char"/>
    <w:uiPriority w:val="9"/>
    <w:unhideWhenUsed/>
    <w:qFormat/>
    <w:rsid w:val="00E56D7D"/>
    <w:pPr>
      <w:keepNext/>
      <w:keepLines/>
      <w:numPr>
        <w:ilvl w:val="1"/>
        <w:numId w:val="2"/>
      </w:numPr>
      <w:spacing w:before="160" w:after="0" w:line="240" w:lineRule="auto"/>
      <w:outlineLvl w:val="1"/>
    </w:pPr>
    <w:rPr>
      <w:rFonts w:ascii="Calibri Light" w:eastAsia="SimSun" w:hAnsi="Calibri Light"/>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D7D"/>
    <w:rPr>
      <w:rFonts w:ascii="Calibri Light" w:eastAsia="SimSun" w:hAnsi="Calibri Light" w:cs="Times New Roman"/>
      <w:color w:val="2E74B5"/>
      <w:sz w:val="36"/>
      <w:szCs w:val="36"/>
      <w:lang w:eastAsia="en-GB"/>
    </w:rPr>
  </w:style>
  <w:style w:type="character" w:customStyle="1" w:styleId="Heading2Char">
    <w:name w:val="Heading 2 Char"/>
    <w:basedOn w:val="DefaultParagraphFont"/>
    <w:link w:val="Heading2"/>
    <w:uiPriority w:val="9"/>
    <w:rsid w:val="00E56D7D"/>
    <w:rPr>
      <w:rFonts w:ascii="Calibri Light" w:eastAsia="SimSun" w:hAnsi="Calibri Light" w:cs="Times New Roman"/>
      <w:color w:val="2E74B5"/>
      <w:sz w:val="28"/>
      <w:szCs w:val="28"/>
      <w:lang w:eastAsia="en-GB"/>
    </w:rPr>
  </w:style>
  <w:style w:type="paragraph" w:customStyle="1" w:styleId="leglisttextstandard1">
    <w:name w:val="leglisttextstandard1"/>
    <w:basedOn w:val="Normal"/>
    <w:rsid w:val="00E56D7D"/>
    <w:pPr>
      <w:shd w:val="clear" w:color="auto" w:fill="FFFFFF"/>
      <w:spacing w:line="360" w:lineRule="atLeast"/>
      <w:jc w:val="both"/>
    </w:pPr>
    <w:rPr>
      <w:rFonts w:ascii="Times New Roman" w:hAnsi="Times New Roman"/>
      <w:color w:val="000000"/>
      <w:sz w:val="19"/>
      <w:szCs w:val="19"/>
    </w:rPr>
  </w:style>
  <w:style w:type="paragraph" w:customStyle="1" w:styleId="Appendix">
    <w:name w:val="Appendix"/>
    <w:basedOn w:val="Heading1"/>
    <w:link w:val="AppendixChar"/>
    <w:qFormat/>
    <w:rsid w:val="00E56D7D"/>
    <w:pPr>
      <w:numPr>
        <w:numId w:val="3"/>
      </w:numPr>
    </w:pPr>
  </w:style>
  <w:style w:type="character" w:customStyle="1" w:styleId="AppendixChar">
    <w:name w:val="Appendix Char"/>
    <w:basedOn w:val="Heading1Char"/>
    <w:link w:val="Appendix"/>
    <w:rsid w:val="00E56D7D"/>
    <w:rPr>
      <w:rFonts w:ascii="Calibri Light" w:eastAsia="SimSun" w:hAnsi="Calibri Light" w:cs="Times New Roman"/>
      <w:color w:val="2E74B5"/>
      <w:sz w:val="36"/>
      <w:szCs w:val="36"/>
      <w:lang w:eastAsia="en-GB"/>
    </w:rPr>
  </w:style>
  <w:style w:type="paragraph" w:styleId="Title">
    <w:name w:val="Title"/>
    <w:basedOn w:val="Normal"/>
    <w:next w:val="Normal"/>
    <w:link w:val="TitleChar"/>
    <w:uiPriority w:val="10"/>
    <w:qFormat/>
    <w:rsid w:val="00E56D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6D7D"/>
    <w:rPr>
      <w:rFonts w:asciiTheme="majorHAnsi" w:eastAsiaTheme="majorEastAsia" w:hAnsiTheme="majorHAnsi" w:cstheme="majorBidi"/>
      <w:spacing w:val="-10"/>
      <w:kern w:val="28"/>
      <w:sz w:val="56"/>
      <w:szCs w:val="56"/>
      <w:lang w:eastAsia="en-GB"/>
    </w:rPr>
  </w:style>
  <w:style w:type="paragraph" w:styleId="BalloonText">
    <w:name w:val="Balloon Text"/>
    <w:basedOn w:val="Normal"/>
    <w:link w:val="BalloonTextChar"/>
    <w:uiPriority w:val="99"/>
    <w:semiHidden/>
    <w:unhideWhenUsed/>
    <w:rsid w:val="00254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2C"/>
    <w:rPr>
      <w:rFonts w:ascii="Segoe UI" w:eastAsia="Times New Roman" w:hAnsi="Segoe UI" w:cs="Segoe UI"/>
      <w:sz w:val="18"/>
      <w:szCs w:val="18"/>
      <w:lang w:eastAsia="en-GB"/>
    </w:rPr>
  </w:style>
  <w:style w:type="paragraph" w:styleId="Header">
    <w:name w:val="header"/>
    <w:basedOn w:val="Normal"/>
    <w:link w:val="HeaderChar"/>
    <w:uiPriority w:val="99"/>
    <w:unhideWhenUsed/>
    <w:rsid w:val="00254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52C"/>
    <w:rPr>
      <w:rFonts w:ascii="Arial" w:eastAsia="Times New Roman" w:hAnsi="Arial" w:cs="Times New Roman"/>
      <w:sz w:val="23"/>
      <w:szCs w:val="21"/>
      <w:lang w:eastAsia="en-GB"/>
    </w:rPr>
  </w:style>
  <w:style w:type="paragraph" w:styleId="Footer">
    <w:name w:val="footer"/>
    <w:basedOn w:val="Normal"/>
    <w:link w:val="FooterChar"/>
    <w:uiPriority w:val="99"/>
    <w:unhideWhenUsed/>
    <w:rsid w:val="00254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52C"/>
    <w:rPr>
      <w:rFonts w:ascii="Arial" w:eastAsia="Times New Roman" w:hAnsi="Arial" w:cs="Times New Roman"/>
      <w:sz w:val="23"/>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964AC-A0B2-4D71-9998-60A0B75B7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7</cp:revision>
  <cp:lastPrinted>2015-11-25T12:58:00Z</cp:lastPrinted>
  <dcterms:created xsi:type="dcterms:W3CDTF">2015-11-21T13:06:00Z</dcterms:created>
  <dcterms:modified xsi:type="dcterms:W3CDTF">2015-12-04T13:01:00Z</dcterms:modified>
</cp:coreProperties>
</file>